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F02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8426CAB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3D6C58E" w14:textId="77777777" w:rsidTr="00E97024">
        <w:tc>
          <w:tcPr>
            <w:tcW w:w="3715" w:type="dxa"/>
          </w:tcPr>
          <w:p w14:paraId="374FB01E" w14:textId="77777777" w:rsidR="003B1236" w:rsidRDefault="00854133" w:rsidP="00654C0C">
            <w:pPr>
              <w:spacing w:before="240" w:after="24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7243A21" w14:textId="148970D4" w:rsidR="00654C0C" w:rsidRPr="00A96C08" w:rsidRDefault="000C7B9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Entering into a grant funding agreement with the Social Investment Business Foundation for the delivery of the Leys Pool and Leisure Centre Youth Hub.</w:t>
            </w:r>
          </w:p>
        </w:tc>
      </w:tr>
      <w:tr w:rsidR="006F6326" w14:paraId="2FD3AF0C" w14:textId="77777777" w:rsidTr="00E97024">
        <w:tc>
          <w:tcPr>
            <w:tcW w:w="3715" w:type="dxa"/>
          </w:tcPr>
          <w:p w14:paraId="31658997" w14:textId="77777777" w:rsidR="006F6326" w:rsidRPr="00854133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F5C37C1" w14:textId="7A734064" w:rsidR="00263039" w:rsidRPr="00A96C08" w:rsidRDefault="004F23F0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B1339">
              <w:rPr>
                <w:rFonts w:ascii="Arial" w:hAnsi="Arial" w:cs="Arial"/>
              </w:rPr>
              <w:t xml:space="preserve"> Febr</w:t>
            </w:r>
            <w:r w:rsidR="00CC34D6">
              <w:rPr>
                <w:rFonts w:ascii="Arial" w:hAnsi="Arial" w:cs="Arial"/>
              </w:rPr>
              <w:t>uary 2024</w:t>
            </w:r>
          </w:p>
        </w:tc>
      </w:tr>
      <w:tr w:rsidR="00854133" w14:paraId="18EBBFE8" w14:textId="77777777" w:rsidTr="00E97024">
        <w:tc>
          <w:tcPr>
            <w:tcW w:w="3715" w:type="dxa"/>
          </w:tcPr>
          <w:p w14:paraId="66EF2138" w14:textId="1E0F059A" w:rsidR="00854133" w:rsidRPr="00854133" w:rsidRDefault="00854133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796D12E1" w14:textId="600709C0" w:rsidR="009B1339" w:rsidRDefault="009B1339" w:rsidP="00654C0C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Cabinet</w:t>
            </w:r>
            <w:r w:rsidR="00D41E1E">
              <w:rPr>
                <w:rStyle w:val="normaltextrun"/>
                <w:rFonts w:ascii="Arial" w:hAnsi="Arial" w:cs="Arial"/>
              </w:rPr>
              <w:t xml:space="preserve">, </w:t>
            </w:r>
            <w:hyperlink r:id="rId11" w:history="1">
              <w:r w:rsidR="00D41E1E" w:rsidRPr="00D41E1E">
                <w:rPr>
                  <w:rStyle w:val="Hyperlink"/>
                  <w:rFonts w:ascii="Arial" w:hAnsi="Arial" w:cs="Arial"/>
                </w:rPr>
                <w:t>on 13 September 2023</w:t>
              </w:r>
            </w:hyperlink>
            <w:r w:rsidR="00D41E1E">
              <w:rPr>
                <w:rStyle w:val="normaltextrun"/>
                <w:rFonts w:ascii="Arial" w:hAnsi="Arial" w:cs="Arial"/>
              </w:rPr>
              <w:t xml:space="preserve"> (agenda item 12 ‘</w:t>
            </w:r>
            <w:hyperlink r:id="rId12" w:history="1">
              <w:r w:rsidR="00D41E1E" w:rsidRPr="00D41E1E">
                <w:rPr>
                  <w:rStyle w:val="Hyperlink"/>
                  <w:rFonts w:ascii="Arial" w:hAnsi="Arial" w:cs="Arial"/>
                </w:rPr>
                <w:t>The Leys Pool and Leisure Centre – Youth Hub</w:t>
              </w:r>
            </w:hyperlink>
            <w:r w:rsidR="00D41E1E">
              <w:rPr>
                <w:rStyle w:val="normaltextrun"/>
                <w:rFonts w:ascii="Arial" w:hAnsi="Arial" w:cs="Arial"/>
              </w:rPr>
              <w:t>’) resolved to:</w:t>
            </w:r>
          </w:p>
          <w:p w14:paraId="14A8399B" w14:textId="19A84621" w:rsidR="00D41E1E" w:rsidRPr="009B1339" w:rsidRDefault="00D41E1E" w:rsidP="00D41E1E">
            <w:pPr>
              <w:pStyle w:val="paragraph"/>
              <w:numPr>
                <w:ilvl w:val="0"/>
                <w:numId w:val="10"/>
              </w:numPr>
              <w:spacing w:before="240" w:after="240"/>
              <w:ind w:left="426" w:hanging="42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Grant </w:t>
            </w:r>
            <w:r>
              <w:rPr>
                <w:rStyle w:val="eop"/>
                <w:rFonts w:ascii="Arial" w:hAnsi="Arial" w:cs="Arial"/>
                <w:color w:val="000000"/>
              </w:rPr>
              <w:t>p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roject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 approval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 to create a Youth </w:t>
            </w:r>
            <w:r w:rsidR="00616E56">
              <w:rPr>
                <w:rStyle w:val="eop"/>
                <w:rFonts w:ascii="Arial" w:hAnsi="Arial" w:cs="Arial"/>
                <w:color w:val="000000"/>
              </w:rPr>
              <w:t>H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ub at Leys Pools and Leisure </w:t>
            </w:r>
            <w:proofErr w:type="gramStart"/>
            <w:r w:rsidRPr="009B1339">
              <w:rPr>
                <w:rStyle w:val="eop"/>
                <w:rFonts w:ascii="Arial" w:hAnsi="Arial" w:cs="Arial"/>
                <w:color w:val="000000"/>
              </w:rPr>
              <w:t>Centre</w:t>
            </w:r>
            <w:r>
              <w:rPr>
                <w:rStyle w:val="eop"/>
                <w:rFonts w:ascii="Arial" w:hAnsi="Arial" w:cs="Arial"/>
                <w:color w:val="000000"/>
              </w:rPr>
              <w:t>;</w:t>
            </w:r>
            <w:proofErr w:type="gramEnd"/>
          </w:p>
          <w:p w14:paraId="6159BB6A" w14:textId="625FD86F" w:rsidR="00D41E1E" w:rsidRPr="00D41E1E" w:rsidRDefault="00D41E1E" w:rsidP="00D41E1E">
            <w:pPr>
              <w:pStyle w:val="paragraph"/>
              <w:numPr>
                <w:ilvl w:val="0"/>
                <w:numId w:val="10"/>
              </w:numPr>
              <w:spacing w:before="240" w:beforeAutospacing="0" w:after="240" w:afterAutospacing="0"/>
              <w:ind w:left="426" w:hanging="42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R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ecommend to Council the addition of £1,120,199 into the capital programme together with £223,907 in the revenue budget for delivery of the project</w:t>
            </w:r>
            <w:r>
              <w:rPr>
                <w:rStyle w:val="eop"/>
                <w:rFonts w:ascii="Arial" w:hAnsi="Arial" w:cs="Arial"/>
                <w:color w:val="000000"/>
              </w:rPr>
              <w:t>; and</w:t>
            </w:r>
          </w:p>
          <w:p w14:paraId="274B9F8D" w14:textId="77777777" w:rsidR="00FD26DA" w:rsidRPr="00D41E1E" w:rsidRDefault="00D41E1E" w:rsidP="009B1339">
            <w:pPr>
              <w:pStyle w:val="paragraph"/>
              <w:numPr>
                <w:ilvl w:val="0"/>
                <w:numId w:val="10"/>
              </w:numPr>
              <w:spacing w:before="240" w:beforeAutospacing="0" w:after="240" w:afterAutospacing="0"/>
              <w:ind w:left="426" w:hanging="420"/>
              <w:textAlignment w:val="baseline"/>
              <w:rPr>
                <w:rStyle w:val="eop"/>
                <w:rFonts w:ascii="Arial" w:hAnsi="Arial" w:cs="Arial"/>
              </w:rPr>
            </w:pP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Delegate authority to the Executive Director </w:t>
            </w:r>
            <w:r>
              <w:rPr>
                <w:rStyle w:val="eop"/>
                <w:rFonts w:ascii="Arial" w:hAnsi="Arial" w:cs="Arial"/>
                <w:color w:val="000000"/>
              </w:rPr>
              <w:t>(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Communities and People</w:t>
            </w:r>
            <w:r>
              <w:rPr>
                <w:rStyle w:val="eop"/>
                <w:rFonts w:ascii="Arial" w:hAnsi="Arial" w:cs="Arial"/>
                <w:color w:val="000000"/>
              </w:rPr>
              <w:t>)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 in consultation with the Head of Financ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ial Services / 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Section 151 </w:t>
            </w:r>
            <w:r>
              <w:rPr>
                <w:rStyle w:val="eop"/>
                <w:rFonts w:ascii="Arial" w:hAnsi="Arial" w:cs="Arial"/>
                <w:color w:val="000000"/>
              </w:rPr>
              <w:t>O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fficer, 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the 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Head of Law and Governance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 / 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Monitoring Officer and </w:t>
            </w:r>
            <w:r>
              <w:rPr>
                <w:rStyle w:val="eop"/>
                <w:rFonts w:ascii="Arial" w:hAnsi="Arial" w:cs="Arial"/>
                <w:color w:val="000000"/>
              </w:rPr>
              <w:t>the C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abinet </w:t>
            </w:r>
            <w:r>
              <w:rPr>
                <w:rStyle w:val="eop"/>
                <w:rFonts w:ascii="Arial" w:hAnsi="Arial" w:cs="Arial"/>
                <w:color w:val="000000"/>
              </w:rPr>
              <w:t>M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ember for Leisure and Parks to award the construction contract to O</w:t>
            </w:r>
            <w:r>
              <w:rPr>
                <w:rStyle w:val="eop"/>
                <w:rFonts w:ascii="Arial" w:hAnsi="Arial" w:cs="Arial"/>
                <w:color w:val="000000"/>
              </w:rPr>
              <w:t>xford Direct Services Ltd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 xml:space="preserve"> subject to it being within budget and value for money</w:t>
            </w:r>
            <w:r>
              <w:rPr>
                <w:rStyle w:val="eop"/>
                <w:rFonts w:ascii="Arial" w:hAnsi="Arial" w:cs="Arial"/>
                <w:color w:val="000000"/>
              </w:rPr>
              <w:t>.</w:t>
            </w:r>
          </w:p>
          <w:p w14:paraId="207F842C" w14:textId="77777777" w:rsidR="00D41E1E" w:rsidRDefault="00D41E1E" w:rsidP="00D41E1E">
            <w:pPr>
              <w:pStyle w:val="paragraph"/>
              <w:spacing w:before="240" w:beforeAutospacing="0" w:after="240" w:afterAutospacing="0"/>
              <w:ind w:left="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Council, </w:t>
            </w:r>
            <w:hyperlink r:id="rId13" w:history="1">
              <w:r w:rsidRPr="00D41E1E">
                <w:rPr>
                  <w:rStyle w:val="Hyperlink"/>
                  <w:rFonts w:ascii="Arial" w:hAnsi="Arial" w:cs="Arial"/>
                </w:rPr>
                <w:t>on 2 October 2023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7EDA5494" w14:textId="328A774F" w:rsidR="00D41E1E" w:rsidRPr="00D41E1E" w:rsidRDefault="000A0A92" w:rsidP="000A0A92">
            <w:pPr>
              <w:pStyle w:val="paragraph"/>
              <w:numPr>
                <w:ilvl w:val="0"/>
                <w:numId w:val="11"/>
              </w:numPr>
              <w:spacing w:before="240" w:beforeAutospacing="0" w:after="240" w:afterAutospacing="0"/>
              <w:ind w:left="440" w:hanging="40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Pr="009B1339">
              <w:rPr>
                <w:rStyle w:val="eop"/>
                <w:rFonts w:ascii="Arial" w:hAnsi="Arial" w:cs="Arial"/>
                <w:color w:val="000000"/>
              </w:rPr>
              <w:t>the addition of £1,120,199 into the capital programme together with £223,907 in the revenue budget for delivery of the project</w:t>
            </w:r>
            <w:r>
              <w:rPr>
                <w:rStyle w:val="eop"/>
                <w:rFonts w:ascii="Arial" w:hAnsi="Arial" w:cs="Arial"/>
                <w:color w:val="000000"/>
              </w:rPr>
              <w:t>.</w:t>
            </w:r>
          </w:p>
        </w:tc>
      </w:tr>
      <w:tr w:rsidR="00B87695" w14:paraId="1C842D01" w14:textId="77777777" w:rsidTr="00E97024">
        <w:tc>
          <w:tcPr>
            <w:tcW w:w="3715" w:type="dxa"/>
          </w:tcPr>
          <w:p w14:paraId="272DF0CA" w14:textId="39DAA28C" w:rsidR="003B1236" w:rsidRPr="00B87695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8F2250D" w14:textId="4DDC3C4A" w:rsidR="009B1339" w:rsidRPr="009B1339" w:rsidRDefault="00616E56" w:rsidP="009B1339">
            <w:pPr>
              <w:spacing w:before="240" w:after="240"/>
              <w:rPr>
                <w:rFonts w:ascii="Arial" w:hAnsi="Arial" w:cs="Arial"/>
              </w:rPr>
            </w:pPr>
            <w:bookmarkStart w:id="0" w:name="_Hlk158183995"/>
            <w:r>
              <w:rPr>
                <w:rFonts w:ascii="Arial" w:hAnsi="Arial" w:cs="Arial"/>
              </w:rPr>
              <w:t xml:space="preserve">To </w:t>
            </w:r>
            <w:r w:rsidR="000C7B91">
              <w:rPr>
                <w:rFonts w:ascii="Arial" w:hAnsi="Arial" w:cs="Arial"/>
              </w:rPr>
              <w:t xml:space="preserve">enter into a grant funding agreement of </w:t>
            </w:r>
            <w:r w:rsidR="000C7B91">
              <w:rPr>
                <w:rStyle w:val="eop"/>
                <w:rFonts w:ascii="Arial" w:hAnsi="Arial" w:cs="Arial"/>
                <w:color w:val="000000"/>
              </w:rPr>
              <w:t xml:space="preserve">£1,120,199 capital and </w:t>
            </w:r>
            <w:r w:rsidR="000C7B91" w:rsidRPr="009B1339">
              <w:rPr>
                <w:rStyle w:val="eop"/>
                <w:rFonts w:ascii="Arial" w:hAnsi="Arial" w:cs="Arial"/>
                <w:color w:val="000000"/>
              </w:rPr>
              <w:t>£223,907</w:t>
            </w:r>
            <w:r w:rsidR="000C7B91">
              <w:rPr>
                <w:rFonts w:ascii="Arial" w:hAnsi="Arial" w:cs="Arial"/>
              </w:rPr>
              <w:t xml:space="preserve"> revenue with the Social Investment Business Foundation to enable the delivery of a Youth Hub at the Leys Leisure Centre.</w:t>
            </w:r>
            <w:bookmarkEnd w:id="0"/>
          </w:p>
        </w:tc>
      </w:tr>
      <w:tr w:rsidR="00373F5D" w14:paraId="5E3594B6" w14:textId="77777777" w:rsidTr="00E97024">
        <w:tc>
          <w:tcPr>
            <w:tcW w:w="3715" w:type="dxa"/>
          </w:tcPr>
          <w:p w14:paraId="15BF4B91" w14:textId="7DE53004" w:rsidR="00373F5D" w:rsidRPr="00373F5D" w:rsidRDefault="00373F5D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6209" w:type="dxa"/>
          </w:tcPr>
          <w:p w14:paraId="59A9B29A" w14:textId="19CF2164" w:rsidR="00C850E0" w:rsidRPr="00A96C08" w:rsidRDefault="009B1339" w:rsidP="00654C0C">
            <w:pPr>
              <w:spacing w:before="240" w:after="240"/>
              <w:rPr>
                <w:rFonts w:ascii="Arial" w:hAnsi="Arial" w:cs="Arial"/>
              </w:rPr>
            </w:pPr>
            <w:bookmarkStart w:id="1" w:name="_Hlk158184095"/>
            <w:r>
              <w:rPr>
                <w:rFonts w:ascii="Arial" w:hAnsi="Arial" w:cs="Arial"/>
              </w:rPr>
              <w:t>Entering into the grant funding agreement enables officers to then draw down the funding and subsequently deliver the project</w:t>
            </w:r>
            <w:r w:rsidR="00616E56">
              <w:rPr>
                <w:rFonts w:ascii="Arial" w:hAnsi="Arial" w:cs="Arial"/>
              </w:rPr>
              <w:t>, in line with the report to Cabinet of 13 September 2023</w:t>
            </w:r>
            <w:r>
              <w:rPr>
                <w:rFonts w:ascii="Arial" w:hAnsi="Arial" w:cs="Arial"/>
              </w:rPr>
              <w:t>.</w:t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</w:tc>
      </w:tr>
      <w:tr w:rsidR="00DC2E8D" w14:paraId="0B406237" w14:textId="77777777" w:rsidTr="00E97024">
        <w:tc>
          <w:tcPr>
            <w:tcW w:w="3715" w:type="dxa"/>
          </w:tcPr>
          <w:p w14:paraId="4896F0FE" w14:textId="3A40C8AE" w:rsidR="00DC2E8D" w:rsidRPr="008E4629" w:rsidRDefault="008E4629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61A8292C" w14:textId="0AFAFFED" w:rsidR="00757726" w:rsidRPr="00C24604" w:rsidRDefault="009B1339" w:rsidP="00654C0C">
            <w:pPr>
              <w:spacing w:before="240" w:after="240"/>
              <w:rPr>
                <w:rFonts w:ascii="Arial" w:hAnsi="Arial" w:cs="Arial"/>
              </w:rPr>
            </w:pPr>
            <w:bookmarkStart w:id="2" w:name="_Hlk158184116"/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decision is necessary to secure the funding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  If this decision </w:t>
            </w:r>
            <w:r w:rsidR="00CB690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were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not </w:t>
            </w:r>
            <w:proofErr w:type="gramStart"/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taken</w:t>
            </w:r>
            <w:proofErr w:type="gramEnd"/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then the funder w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ould</w:t>
            </w:r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not release the funds and 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officers would</w:t>
            </w:r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not be able to deliver the project in line with the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report</w:t>
            </w:r>
            <w:r w:rsidR="00616E5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Cabinet</w:t>
            </w:r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of 13 </w:t>
            </w:r>
            <w:r w:rsidRP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September 2013.</w:t>
            </w:r>
            <w:r w:rsidR="00C24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The funding is time limited and must be spent by the end of March 2025.</w:t>
            </w:r>
            <w:bookmarkEnd w:id="2"/>
          </w:p>
        </w:tc>
      </w:tr>
      <w:tr w:rsidR="00B87695" w14:paraId="2E29F60C" w14:textId="77777777" w:rsidTr="00E97024">
        <w:tc>
          <w:tcPr>
            <w:tcW w:w="3715" w:type="dxa"/>
          </w:tcPr>
          <w:p w14:paraId="40049AAB" w14:textId="1E380578" w:rsidR="00B87695" w:rsidRPr="00B87695" w:rsidRDefault="00B87695" w:rsidP="00654C0C">
            <w:pPr>
              <w:spacing w:before="240" w:after="24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6209" w:type="dxa"/>
          </w:tcPr>
          <w:p w14:paraId="3B7C648B" w14:textId="0F50DDDD" w:rsidR="00DE700A" w:rsidRPr="00A96C08" w:rsidRDefault="009B1339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</w:t>
            </w:r>
            <w:r w:rsidR="00616E56">
              <w:rPr>
                <w:rFonts w:ascii="Arial" w:hAnsi="Arial" w:cs="Arial"/>
              </w:rPr>
              <w:t>w, Executive Director (</w:t>
            </w:r>
            <w:r w:rsidR="00DE700A">
              <w:rPr>
                <w:rFonts w:ascii="Arial" w:hAnsi="Arial" w:cs="Arial"/>
              </w:rPr>
              <w:t>Communit</w:t>
            </w:r>
            <w:r w:rsidR="00E538F0">
              <w:rPr>
                <w:rFonts w:ascii="Arial" w:hAnsi="Arial" w:cs="Arial"/>
              </w:rPr>
              <w:t>ies and People).</w:t>
            </w:r>
          </w:p>
        </w:tc>
      </w:tr>
      <w:tr w:rsidR="006F6326" w14:paraId="66D11606" w14:textId="77777777" w:rsidTr="00E97024">
        <w:tc>
          <w:tcPr>
            <w:tcW w:w="3715" w:type="dxa"/>
          </w:tcPr>
          <w:p w14:paraId="1AD10420" w14:textId="2C5C28FD" w:rsidR="006F6326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5F980A54" w14:textId="7AFAA9F6" w:rsidR="00A76BF5" w:rsidRPr="009A1F89" w:rsidRDefault="009B1339" w:rsidP="00726FE0">
            <w:pPr>
              <w:spacing w:before="240" w:after="240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3" w:name="_Hlk158184171"/>
            <w:r>
              <w:rPr>
                <w:rFonts w:ascii="Arial" w:hAnsi="Arial" w:cs="Arial"/>
              </w:rPr>
              <w:t xml:space="preserve">The alternative option </w:t>
            </w:r>
            <w:r w:rsidR="00E538F0">
              <w:rPr>
                <w:rFonts w:ascii="Arial" w:hAnsi="Arial" w:cs="Arial"/>
              </w:rPr>
              <w:t>would be</w:t>
            </w:r>
            <w:r>
              <w:rPr>
                <w:rFonts w:ascii="Arial" w:hAnsi="Arial" w:cs="Arial"/>
              </w:rPr>
              <w:t xml:space="preserve"> to </w:t>
            </w:r>
            <w:r w:rsidR="00253D3A">
              <w:rPr>
                <w:rFonts w:ascii="Arial" w:hAnsi="Arial" w:cs="Arial"/>
              </w:rPr>
              <w:t>decline the funding</w:t>
            </w:r>
            <w:r w:rsidR="00726FE0">
              <w:rPr>
                <w:rFonts w:ascii="Arial" w:hAnsi="Arial" w:cs="Arial"/>
              </w:rPr>
              <w:t xml:space="preserve"> and not enter</w:t>
            </w:r>
            <w:r w:rsidR="000C7B91">
              <w:rPr>
                <w:rFonts w:ascii="Arial" w:hAnsi="Arial" w:cs="Arial"/>
              </w:rPr>
              <w:t xml:space="preserve"> into</w:t>
            </w:r>
            <w:r w:rsidR="00726FE0">
              <w:rPr>
                <w:rFonts w:ascii="Arial" w:hAnsi="Arial" w:cs="Arial"/>
              </w:rPr>
              <w:t xml:space="preserve"> the agreement</w:t>
            </w:r>
            <w:r w:rsidR="00253D3A">
              <w:rPr>
                <w:rFonts w:ascii="Arial" w:hAnsi="Arial" w:cs="Arial"/>
              </w:rPr>
              <w:t>. This</w:t>
            </w:r>
            <w:r w:rsidR="00E538F0">
              <w:rPr>
                <w:rFonts w:ascii="Arial" w:hAnsi="Arial" w:cs="Arial"/>
              </w:rPr>
              <w:t xml:space="preserve"> option</w:t>
            </w:r>
            <w:r w:rsidR="00253D3A">
              <w:rPr>
                <w:rFonts w:ascii="Arial" w:hAnsi="Arial" w:cs="Arial"/>
              </w:rPr>
              <w:t xml:space="preserve"> has been rejected as it</w:t>
            </w:r>
            <w:r>
              <w:rPr>
                <w:rFonts w:ascii="Arial" w:hAnsi="Arial" w:cs="Arial"/>
              </w:rPr>
              <w:t xml:space="preserve"> would mean that</w:t>
            </w:r>
            <w:r w:rsidR="00E538F0">
              <w:rPr>
                <w:rFonts w:ascii="Arial" w:hAnsi="Arial" w:cs="Arial"/>
              </w:rPr>
              <w:t xml:space="preserve"> </w:t>
            </w:r>
            <w:r w:rsidR="00253D3A">
              <w:rPr>
                <w:rFonts w:ascii="Arial" w:hAnsi="Arial" w:cs="Arial"/>
              </w:rPr>
              <w:t xml:space="preserve">the project </w:t>
            </w:r>
            <w:r w:rsidR="00E538F0">
              <w:rPr>
                <w:rFonts w:ascii="Arial" w:hAnsi="Arial" w:cs="Arial"/>
              </w:rPr>
              <w:t>set out in</w:t>
            </w:r>
            <w:r w:rsidR="00253D3A">
              <w:rPr>
                <w:rFonts w:ascii="Arial" w:hAnsi="Arial" w:cs="Arial"/>
              </w:rPr>
              <w:t xml:space="preserve"> the </w:t>
            </w:r>
            <w:r w:rsidR="00E538F0">
              <w:rPr>
                <w:rFonts w:ascii="Arial" w:hAnsi="Arial" w:cs="Arial"/>
              </w:rPr>
              <w:t>C</w:t>
            </w:r>
            <w:r w:rsidR="00253D3A">
              <w:rPr>
                <w:rFonts w:ascii="Arial" w:hAnsi="Arial" w:cs="Arial"/>
              </w:rPr>
              <w:t>abinet report of 13 September 2013</w:t>
            </w:r>
            <w:r w:rsidR="00E538F0">
              <w:rPr>
                <w:rFonts w:ascii="Arial" w:hAnsi="Arial" w:cs="Arial"/>
              </w:rPr>
              <w:t xml:space="preserve"> could not be delivered.</w:t>
            </w:r>
            <w:bookmarkEnd w:id="3"/>
          </w:p>
        </w:tc>
      </w:tr>
      <w:tr w:rsidR="006F6326" w14:paraId="35360977" w14:textId="77777777" w:rsidTr="00E97024">
        <w:trPr>
          <w:trHeight w:val="1018"/>
        </w:trPr>
        <w:tc>
          <w:tcPr>
            <w:tcW w:w="3715" w:type="dxa"/>
          </w:tcPr>
          <w:p w14:paraId="7E46D864" w14:textId="5A38D960" w:rsidR="00C678ED" w:rsidRPr="00C678ED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EE869F6" w14:textId="24C1D80D" w:rsidR="006F6326" w:rsidRPr="00A96C08" w:rsidRDefault="004F23F0" w:rsidP="00654C0C">
            <w:pPr>
              <w:spacing w:before="240" w:after="240"/>
              <w:rPr>
                <w:rFonts w:ascii="Arial" w:hAnsi="Arial" w:cs="Arial"/>
              </w:rPr>
            </w:pPr>
            <w:hyperlink r:id="rId14" w:history="1">
              <w:r w:rsidR="00CB690B" w:rsidRPr="00CB690B">
                <w:rPr>
                  <w:rStyle w:val="Hyperlink"/>
                  <w:rFonts w:ascii="Arial" w:hAnsi="Arial" w:cs="Arial"/>
                </w:rPr>
                <w:t>Report to Cabinet</w:t>
              </w:r>
            </w:hyperlink>
            <w:r w:rsidR="00CB690B">
              <w:rPr>
                <w:rFonts w:ascii="Arial" w:hAnsi="Arial" w:cs="Arial"/>
              </w:rPr>
              <w:t xml:space="preserve"> dated 13 September 2023.</w:t>
            </w:r>
          </w:p>
        </w:tc>
      </w:tr>
      <w:tr w:rsidR="006F6326" w14:paraId="26469526" w14:textId="77777777" w:rsidTr="00E97024">
        <w:tc>
          <w:tcPr>
            <w:tcW w:w="3715" w:type="dxa"/>
          </w:tcPr>
          <w:p w14:paraId="7515E0E3" w14:textId="3B8A41F1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3614951" w14:textId="5C6278FA" w:rsidR="006F6326" w:rsidRPr="00A96C08" w:rsidRDefault="00F50C2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r w:rsidR="00CB690B">
              <w:rPr>
                <w:rFonts w:ascii="Arial" w:hAnsi="Arial" w:cs="Arial"/>
              </w:rPr>
              <w:t xml:space="preserve"> (expenditure, income or savings of £500k or greater in the context of the </w:t>
            </w:r>
            <w:proofErr w:type="gramStart"/>
            <w:r w:rsidR="00CB690B">
              <w:rPr>
                <w:rFonts w:ascii="Arial" w:hAnsi="Arial" w:cs="Arial"/>
              </w:rPr>
              <w:t>medium term</w:t>
            </w:r>
            <w:proofErr w:type="gramEnd"/>
            <w:r w:rsidR="00CB690B">
              <w:rPr>
                <w:rFonts w:ascii="Arial" w:hAnsi="Arial" w:cs="Arial"/>
              </w:rPr>
              <w:t xml:space="preserve"> financial strategy).</w:t>
            </w:r>
          </w:p>
        </w:tc>
      </w:tr>
      <w:tr w:rsidR="006F6326" w14:paraId="787DDA19" w14:textId="77777777" w:rsidTr="00E97024">
        <w:tc>
          <w:tcPr>
            <w:tcW w:w="3715" w:type="dxa"/>
          </w:tcPr>
          <w:p w14:paraId="7CD49BC8" w14:textId="42107E83" w:rsidR="006F6326" w:rsidRPr="008E4629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036944B7" w14:textId="04ACA130" w:rsidR="006F6326" w:rsidRPr="00A96C08" w:rsidRDefault="00CB690B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14:paraId="3B9A7803" w14:textId="77777777" w:rsidTr="00E97024">
        <w:tc>
          <w:tcPr>
            <w:tcW w:w="3715" w:type="dxa"/>
          </w:tcPr>
          <w:p w14:paraId="0F24E513" w14:textId="39D35A72" w:rsidR="006F6326" w:rsidRPr="006F6326" w:rsidRDefault="006F6326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574C446" w14:textId="7B737B49" w:rsidR="00253D3A" w:rsidRPr="00A96C08" w:rsidRDefault="00A22BAB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B690B">
              <w:rPr>
                <w:rFonts w:ascii="Arial" w:hAnsi="Arial" w:cs="Arial"/>
              </w:rPr>
              <w:t>ne.</w:t>
            </w:r>
          </w:p>
        </w:tc>
      </w:tr>
      <w:tr w:rsidR="00B87695" w14:paraId="1FE81F9D" w14:textId="77777777" w:rsidTr="00E97024">
        <w:tc>
          <w:tcPr>
            <w:tcW w:w="3715" w:type="dxa"/>
          </w:tcPr>
          <w:p w14:paraId="2FFAE8FA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7C8892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34257D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3308F32" w14:textId="2C50984E" w:rsidR="00F50C21" w:rsidRDefault="00253D3A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B690B">
              <w:rPr>
                <w:rFonts w:ascii="Arial" w:hAnsi="Arial" w:cs="Arial"/>
              </w:rPr>
              <w:t>agan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Lewisman</w:t>
            </w:r>
            <w:proofErr w:type="spellEnd"/>
          </w:p>
          <w:p w14:paraId="08F26515" w14:textId="0B2A59E6" w:rsidR="00F50C21" w:rsidRDefault="00253D3A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Communities Manager</w:t>
            </w:r>
          </w:p>
          <w:p w14:paraId="561C8A07" w14:textId="500A6AA3" w:rsidR="00F50C21" w:rsidRPr="00A96C08" w:rsidRDefault="00CB690B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February </w:t>
            </w:r>
            <w:r w:rsidR="00F50C21">
              <w:rPr>
                <w:rFonts w:ascii="Arial" w:hAnsi="Arial" w:cs="Arial"/>
              </w:rPr>
              <w:t>2024</w:t>
            </w:r>
          </w:p>
        </w:tc>
      </w:tr>
    </w:tbl>
    <w:p w14:paraId="2711812F" w14:textId="77777777" w:rsidR="002611EB" w:rsidRDefault="002611EB" w:rsidP="008A22C6"/>
    <w:p w14:paraId="6595B5EC" w14:textId="77777777" w:rsidR="005C60B2" w:rsidRDefault="005C60B2" w:rsidP="008A22C6"/>
    <w:p w14:paraId="3B71145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C276117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E9AFF63" w14:textId="77777777" w:rsidTr="00FA34FE">
        <w:trPr>
          <w:trHeight w:val="516"/>
        </w:trPr>
        <w:tc>
          <w:tcPr>
            <w:tcW w:w="2836" w:type="dxa"/>
          </w:tcPr>
          <w:p w14:paraId="0DC4B4B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4E5629B2" w14:textId="2FF5A52F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A8A819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3E52F4C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6B4437E7" w14:textId="77777777" w:rsidR="005C60B2" w:rsidRDefault="005C60B2" w:rsidP="006C36B5">
            <w:pPr>
              <w:spacing w:before="24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332188F0" w14:textId="3AA9BDAA" w:rsidR="005C60B2" w:rsidRPr="005C60B2" w:rsidRDefault="005C60B2" w:rsidP="006C36B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289C04E" w14:textId="77777777" w:rsidR="00F21B38" w:rsidRDefault="00F21B38" w:rsidP="006C36B5">
            <w:pPr>
              <w:spacing w:before="240"/>
              <w:rPr>
                <w:rFonts w:ascii="Arial" w:hAnsi="Arial" w:cs="Arial"/>
              </w:rPr>
            </w:pPr>
            <w:r w:rsidRPr="00F21B38">
              <w:rPr>
                <w:rFonts w:ascii="Arial" w:hAnsi="Arial" w:cs="Arial"/>
                <w:noProof/>
              </w:rPr>
              <w:drawing>
                <wp:inline distT="0" distB="0" distL="0" distR="0" wp14:anchorId="35D16E29" wp14:editId="7EADB94C">
                  <wp:extent cx="984250" cy="37147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89C7E" w14:textId="791AE991" w:rsidR="00F21B38" w:rsidRDefault="00253D3A" w:rsidP="006C36B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</w:t>
            </w:r>
            <w:r w:rsidR="00CB690B">
              <w:rPr>
                <w:rFonts w:ascii="Arial" w:hAnsi="Arial" w:cs="Arial"/>
              </w:rPr>
              <w:t xml:space="preserve">w, </w:t>
            </w:r>
            <w:r w:rsidR="00F21B38">
              <w:rPr>
                <w:rFonts w:ascii="Arial" w:hAnsi="Arial" w:cs="Arial"/>
              </w:rPr>
              <w:t>Interim Executive Director</w:t>
            </w:r>
            <w:r w:rsidR="00CB690B">
              <w:rPr>
                <w:rFonts w:ascii="Arial" w:hAnsi="Arial" w:cs="Arial"/>
              </w:rPr>
              <w:t xml:space="preserve"> (</w:t>
            </w:r>
            <w:r w:rsidR="00F21B38">
              <w:rPr>
                <w:rFonts w:ascii="Arial" w:hAnsi="Arial" w:cs="Arial"/>
              </w:rPr>
              <w:t>Communities and People</w:t>
            </w:r>
            <w:r w:rsidR="00CB690B">
              <w:rPr>
                <w:rFonts w:ascii="Arial" w:hAnsi="Arial" w:cs="Arial"/>
              </w:rPr>
              <w:t>)</w:t>
            </w:r>
          </w:p>
          <w:p w14:paraId="288F27F2" w14:textId="20B7E36C" w:rsidR="006C36B5" w:rsidRPr="005C60B2" w:rsidRDefault="006C36B5" w:rsidP="006C36B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6FC30B4" w14:textId="1811CC54" w:rsidR="005C60B2" w:rsidRPr="005C60B2" w:rsidRDefault="004F23F0" w:rsidP="006C36B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B690B">
              <w:rPr>
                <w:rFonts w:ascii="Arial" w:hAnsi="Arial" w:cs="Arial"/>
              </w:rPr>
              <w:t xml:space="preserve"> February 2024</w:t>
            </w:r>
          </w:p>
        </w:tc>
      </w:tr>
    </w:tbl>
    <w:p w14:paraId="6A546281" w14:textId="77777777" w:rsidR="005C60B2" w:rsidRPr="005C60B2" w:rsidRDefault="005C60B2" w:rsidP="005C60B2">
      <w:pPr>
        <w:rPr>
          <w:rFonts w:ascii="Arial" w:hAnsi="Arial" w:cs="Arial"/>
        </w:rPr>
      </w:pPr>
    </w:p>
    <w:p w14:paraId="06C398D5" w14:textId="77777777" w:rsidR="004F23F0" w:rsidRDefault="004F2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53DE48" w14:textId="6C0B40D8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lastRenderedPageBreak/>
        <w:t>Consultee checklist</w:t>
      </w:r>
    </w:p>
    <w:p w14:paraId="26834DD2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5DB438B3" w14:textId="77777777" w:rsidTr="005C60B2">
        <w:trPr>
          <w:trHeight w:val="516"/>
        </w:trPr>
        <w:tc>
          <w:tcPr>
            <w:tcW w:w="3403" w:type="dxa"/>
          </w:tcPr>
          <w:p w14:paraId="164D26B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28D3018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1EDDFEC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9279A70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65F00E4E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4561BA06" w14:textId="187F5205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361D312" w14:textId="6CD04E03" w:rsidR="005C60B2" w:rsidRDefault="000F105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Brooke</w:t>
            </w:r>
          </w:p>
          <w:p w14:paraId="0E4DA9C0" w14:textId="32F3C867" w:rsidR="00855390" w:rsidRDefault="0085539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Community Services</w:t>
            </w:r>
          </w:p>
          <w:p w14:paraId="1905859B" w14:textId="77777777" w:rsidR="00855390" w:rsidRDefault="00855390" w:rsidP="005C60B2">
            <w:pPr>
              <w:rPr>
                <w:rFonts w:ascii="Arial" w:hAnsi="Arial" w:cs="Arial"/>
              </w:rPr>
            </w:pPr>
          </w:p>
          <w:p w14:paraId="512A6367" w14:textId="52C864CF" w:rsidR="00855390" w:rsidRPr="005C60B2" w:rsidRDefault="00855390" w:rsidP="005C60B2">
            <w:pPr>
              <w:rPr>
                <w:rFonts w:ascii="Arial" w:hAnsi="Arial" w:cs="Arial"/>
              </w:rPr>
            </w:pPr>
            <w:bookmarkStart w:id="4" w:name="OLE_LINK1"/>
            <w:r>
              <w:rPr>
                <w:noProof/>
                <w:sz w:val="22"/>
              </w:rPr>
              <w:drawing>
                <wp:inline distT="0" distB="0" distL="0" distR="0" wp14:anchorId="03E35737" wp14:editId="1D8C4CCC">
                  <wp:extent cx="1992509" cy="4191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00" cy="42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1984" w:type="dxa"/>
            <w:vAlign w:val="center"/>
          </w:tcPr>
          <w:p w14:paraId="62343D7C" w14:textId="354DC819" w:rsidR="005C60B2" w:rsidRPr="005C60B2" w:rsidRDefault="00982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February 20</w:t>
            </w:r>
            <w:r w:rsidR="000F1052">
              <w:rPr>
                <w:rFonts w:ascii="Arial" w:hAnsi="Arial" w:cs="Arial"/>
              </w:rPr>
              <w:t>24</w:t>
            </w:r>
          </w:p>
        </w:tc>
      </w:tr>
      <w:tr w:rsidR="005C60B2" w:rsidRPr="005C60B2" w14:paraId="676D28F9" w14:textId="77777777" w:rsidTr="005C60B2">
        <w:trPr>
          <w:trHeight w:val="1161"/>
        </w:trPr>
        <w:tc>
          <w:tcPr>
            <w:tcW w:w="3403" w:type="dxa"/>
          </w:tcPr>
          <w:p w14:paraId="4F5C6CBD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27C47563" w14:textId="677A447C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5095C83" w14:textId="77777777" w:rsidR="00726FE0" w:rsidRDefault="00726FE0" w:rsidP="00726FE0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5E4E17F" wp14:editId="68ABC2CA">
                  <wp:extent cx="1111250" cy="844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ECFC0" w14:textId="579E53FC" w:rsidR="00726FE0" w:rsidRDefault="00726FE0" w:rsidP="00726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9823C8">
              <w:rPr>
                <w:rFonts w:ascii="Arial" w:hAnsi="Arial" w:cs="Arial"/>
              </w:rPr>
              <w:t>, Head of Financial Services</w:t>
            </w:r>
          </w:p>
          <w:p w14:paraId="36D831EE" w14:textId="77777777"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F003E92" w14:textId="063F5452" w:rsidR="005C60B2" w:rsidRPr="005C60B2" w:rsidRDefault="00982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February 20</w:t>
            </w:r>
            <w:r w:rsidR="00726FE0">
              <w:rPr>
                <w:rFonts w:ascii="Arial" w:hAnsi="Arial" w:cs="Arial"/>
              </w:rPr>
              <w:t>24</w:t>
            </w:r>
          </w:p>
        </w:tc>
      </w:tr>
      <w:tr w:rsidR="005C60B2" w:rsidRPr="005C60B2" w14:paraId="5BA6E226" w14:textId="77777777" w:rsidTr="005C60B2">
        <w:trPr>
          <w:trHeight w:val="834"/>
        </w:trPr>
        <w:tc>
          <w:tcPr>
            <w:tcW w:w="3403" w:type="dxa"/>
          </w:tcPr>
          <w:p w14:paraId="61C9D2AA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16A3A76A" w14:textId="58A22B80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3742D79" w14:textId="77777777" w:rsidR="005C60B2" w:rsidRDefault="00982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Jackman, Head of </w:t>
            </w:r>
            <w:proofErr w:type="gramStart"/>
            <w:r>
              <w:rPr>
                <w:rFonts w:ascii="Arial" w:hAnsi="Arial" w:cs="Arial"/>
              </w:rPr>
              <w:t>Law</w:t>
            </w:r>
            <w:proofErr w:type="gramEnd"/>
            <w:r>
              <w:rPr>
                <w:rFonts w:ascii="Arial" w:hAnsi="Arial" w:cs="Arial"/>
              </w:rPr>
              <w:t xml:space="preserve"> and Governance</w:t>
            </w:r>
          </w:p>
          <w:p w14:paraId="1F5A5751" w14:textId="0FD55FA1" w:rsidR="009823C8" w:rsidRPr="005C60B2" w:rsidRDefault="009823C8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7C25193" wp14:editId="44C01CB7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F6C54CB" w14:textId="77777777" w:rsidR="005C60B2" w:rsidRDefault="005C60B2" w:rsidP="005C60B2">
            <w:pPr>
              <w:rPr>
                <w:rFonts w:ascii="Arial" w:hAnsi="Arial" w:cs="Arial"/>
              </w:rPr>
            </w:pPr>
          </w:p>
          <w:p w14:paraId="67D46EAD" w14:textId="1C6D556E" w:rsidR="009823C8" w:rsidRPr="005C60B2" w:rsidRDefault="009823C8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February 2024</w:t>
            </w:r>
          </w:p>
        </w:tc>
      </w:tr>
      <w:tr w:rsidR="005C60B2" w:rsidRPr="005C60B2" w14:paraId="00A4912B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2C3EBCF3" w14:textId="1CFA495B" w:rsidR="00CB690B" w:rsidRPr="005C60B2" w:rsidRDefault="005C60B2" w:rsidP="00CB690B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7DE37464" w14:textId="606BC143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9F5106C" w14:textId="158F86B2" w:rsidR="005C60B2" w:rsidRPr="005C60B2" w:rsidRDefault="00F012B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823C8">
              <w:rPr>
                <w:rFonts w:ascii="Arial" w:hAnsi="Arial" w:cs="Arial"/>
              </w:rPr>
              <w:t>ouncillor</w:t>
            </w:r>
            <w:r>
              <w:rPr>
                <w:rFonts w:ascii="Arial" w:hAnsi="Arial" w:cs="Arial"/>
              </w:rPr>
              <w:t xml:space="preserve"> Chewe </w:t>
            </w:r>
            <w:proofErr w:type="spellStart"/>
            <w:r>
              <w:rPr>
                <w:rFonts w:ascii="Arial" w:hAnsi="Arial" w:cs="Arial"/>
              </w:rPr>
              <w:t>Munkonge</w:t>
            </w:r>
            <w:proofErr w:type="spellEnd"/>
            <w:r w:rsidR="009823C8">
              <w:rPr>
                <w:rFonts w:ascii="Arial" w:hAnsi="Arial" w:cs="Arial"/>
              </w:rPr>
              <w:t>, Cabinet Member for Leisure and Parks</w:t>
            </w:r>
          </w:p>
        </w:tc>
        <w:tc>
          <w:tcPr>
            <w:tcW w:w="1984" w:type="dxa"/>
            <w:vAlign w:val="center"/>
          </w:tcPr>
          <w:p w14:paraId="6983CEE2" w14:textId="133B7BDB" w:rsidR="005C60B2" w:rsidRPr="005C60B2" w:rsidRDefault="004F23F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February 2024</w:t>
            </w:r>
          </w:p>
        </w:tc>
      </w:tr>
    </w:tbl>
    <w:p w14:paraId="5E85EA72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527FF453" w14:textId="77777777" w:rsidR="005C60B2" w:rsidRDefault="005C60B2" w:rsidP="002611EB">
      <w:pPr>
        <w:rPr>
          <w:rFonts w:ascii="Arial" w:hAnsi="Arial" w:cs="Arial"/>
          <w:b/>
        </w:rPr>
      </w:pPr>
    </w:p>
    <w:p w14:paraId="1C720628" w14:textId="05717E7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D446" w14:textId="77777777" w:rsidR="00FD1642" w:rsidRDefault="00FD1642" w:rsidP="00F11FD1">
      <w:r>
        <w:separator/>
      </w:r>
    </w:p>
  </w:endnote>
  <w:endnote w:type="continuationSeparator" w:id="0">
    <w:p w14:paraId="75925091" w14:textId="77777777" w:rsidR="00FD1642" w:rsidRDefault="00FD164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99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06DF" w14:textId="77777777" w:rsidR="00FD1642" w:rsidRDefault="00FD1642" w:rsidP="00F11FD1">
      <w:r>
        <w:separator/>
      </w:r>
    </w:p>
  </w:footnote>
  <w:footnote w:type="continuationSeparator" w:id="0">
    <w:p w14:paraId="3928C7A9" w14:textId="77777777" w:rsidR="00FD1642" w:rsidRDefault="00FD164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7D9"/>
    <w:multiLevelType w:val="hybridMultilevel"/>
    <w:tmpl w:val="F7E4ADD6"/>
    <w:lvl w:ilvl="0" w:tplc="1D8002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1177994"/>
    <w:multiLevelType w:val="hybridMultilevel"/>
    <w:tmpl w:val="CA604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08AC"/>
    <w:multiLevelType w:val="hybridMultilevel"/>
    <w:tmpl w:val="1AFA5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7F7D44"/>
    <w:multiLevelType w:val="hybridMultilevel"/>
    <w:tmpl w:val="98CA2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88402">
    <w:abstractNumId w:val="9"/>
  </w:num>
  <w:num w:numId="2" w16cid:durableId="1781030236">
    <w:abstractNumId w:val="3"/>
  </w:num>
  <w:num w:numId="3" w16cid:durableId="1930112093">
    <w:abstractNumId w:val="10"/>
  </w:num>
  <w:num w:numId="4" w16cid:durableId="55470165">
    <w:abstractNumId w:val="4"/>
  </w:num>
  <w:num w:numId="5" w16cid:durableId="1132601922">
    <w:abstractNumId w:val="5"/>
  </w:num>
  <w:num w:numId="6" w16cid:durableId="608128964">
    <w:abstractNumId w:val="7"/>
  </w:num>
  <w:num w:numId="7" w16cid:durableId="1503623812">
    <w:abstractNumId w:val="6"/>
  </w:num>
  <w:num w:numId="8" w16cid:durableId="1144738537">
    <w:abstractNumId w:val="2"/>
  </w:num>
  <w:num w:numId="9" w16cid:durableId="1965117310">
    <w:abstractNumId w:val="8"/>
  </w:num>
  <w:num w:numId="10" w16cid:durableId="407918628">
    <w:abstractNumId w:val="1"/>
  </w:num>
  <w:num w:numId="11" w16cid:durableId="14791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A0A92"/>
    <w:rsid w:val="000B4310"/>
    <w:rsid w:val="000C7B91"/>
    <w:rsid w:val="000D2140"/>
    <w:rsid w:val="000F1052"/>
    <w:rsid w:val="000F4239"/>
    <w:rsid w:val="000F6BF7"/>
    <w:rsid w:val="00110C2B"/>
    <w:rsid w:val="00132DD1"/>
    <w:rsid w:val="00183DC1"/>
    <w:rsid w:val="00202DD9"/>
    <w:rsid w:val="00224186"/>
    <w:rsid w:val="00231385"/>
    <w:rsid w:val="00253D3A"/>
    <w:rsid w:val="002611EB"/>
    <w:rsid w:val="00263039"/>
    <w:rsid w:val="002A07C9"/>
    <w:rsid w:val="002B53D4"/>
    <w:rsid w:val="002E61DD"/>
    <w:rsid w:val="00324CB6"/>
    <w:rsid w:val="00335A9B"/>
    <w:rsid w:val="003505E0"/>
    <w:rsid w:val="003547CD"/>
    <w:rsid w:val="00373F5D"/>
    <w:rsid w:val="003B1236"/>
    <w:rsid w:val="003D4019"/>
    <w:rsid w:val="004000D7"/>
    <w:rsid w:val="00405321"/>
    <w:rsid w:val="00424A92"/>
    <w:rsid w:val="004A049B"/>
    <w:rsid w:val="004B1944"/>
    <w:rsid w:val="004F23F0"/>
    <w:rsid w:val="00504E43"/>
    <w:rsid w:val="00532DF2"/>
    <w:rsid w:val="0055545E"/>
    <w:rsid w:val="005C60B2"/>
    <w:rsid w:val="005C6416"/>
    <w:rsid w:val="005E37E4"/>
    <w:rsid w:val="00616E56"/>
    <w:rsid w:val="00616F3F"/>
    <w:rsid w:val="006247C4"/>
    <w:rsid w:val="00654C0C"/>
    <w:rsid w:val="006B1A11"/>
    <w:rsid w:val="006C36B5"/>
    <w:rsid w:val="006F6326"/>
    <w:rsid w:val="006F6731"/>
    <w:rsid w:val="007023AB"/>
    <w:rsid w:val="00726FE0"/>
    <w:rsid w:val="00757726"/>
    <w:rsid w:val="007908F4"/>
    <w:rsid w:val="007C424E"/>
    <w:rsid w:val="007D270E"/>
    <w:rsid w:val="00801BEB"/>
    <w:rsid w:val="00804BF2"/>
    <w:rsid w:val="00834D72"/>
    <w:rsid w:val="00844D21"/>
    <w:rsid w:val="00854133"/>
    <w:rsid w:val="00855390"/>
    <w:rsid w:val="008613FB"/>
    <w:rsid w:val="008676E5"/>
    <w:rsid w:val="008900A7"/>
    <w:rsid w:val="00891B19"/>
    <w:rsid w:val="008A22C6"/>
    <w:rsid w:val="008E4629"/>
    <w:rsid w:val="0092153F"/>
    <w:rsid w:val="00960744"/>
    <w:rsid w:val="009823C8"/>
    <w:rsid w:val="00986C99"/>
    <w:rsid w:val="009A1F89"/>
    <w:rsid w:val="009B1339"/>
    <w:rsid w:val="009D0DE6"/>
    <w:rsid w:val="009D2E9E"/>
    <w:rsid w:val="009F048F"/>
    <w:rsid w:val="009F6401"/>
    <w:rsid w:val="00A12928"/>
    <w:rsid w:val="00A13AB0"/>
    <w:rsid w:val="00A22BAB"/>
    <w:rsid w:val="00A253FE"/>
    <w:rsid w:val="00A76BF5"/>
    <w:rsid w:val="00A85A31"/>
    <w:rsid w:val="00A96C08"/>
    <w:rsid w:val="00AC5899"/>
    <w:rsid w:val="00AD3066"/>
    <w:rsid w:val="00AE6DED"/>
    <w:rsid w:val="00B15340"/>
    <w:rsid w:val="00B87695"/>
    <w:rsid w:val="00B928EF"/>
    <w:rsid w:val="00BD4490"/>
    <w:rsid w:val="00BE1FD4"/>
    <w:rsid w:val="00BE7697"/>
    <w:rsid w:val="00BF240D"/>
    <w:rsid w:val="00C07F80"/>
    <w:rsid w:val="00C24604"/>
    <w:rsid w:val="00C251F7"/>
    <w:rsid w:val="00C6130E"/>
    <w:rsid w:val="00C678ED"/>
    <w:rsid w:val="00C850E0"/>
    <w:rsid w:val="00CB5E4F"/>
    <w:rsid w:val="00CB690B"/>
    <w:rsid w:val="00CC34D6"/>
    <w:rsid w:val="00CD4BC9"/>
    <w:rsid w:val="00CE6085"/>
    <w:rsid w:val="00D33F83"/>
    <w:rsid w:val="00D41E1E"/>
    <w:rsid w:val="00D543D9"/>
    <w:rsid w:val="00D85951"/>
    <w:rsid w:val="00D8757A"/>
    <w:rsid w:val="00DA38CC"/>
    <w:rsid w:val="00DB01D4"/>
    <w:rsid w:val="00DC2E8D"/>
    <w:rsid w:val="00DD1A34"/>
    <w:rsid w:val="00DD4885"/>
    <w:rsid w:val="00DD51B2"/>
    <w:rsid w:val="00DE700A"/>
    <w:rsid w:val="00E127E3"/>
    <w:rsid w:val="00E2036C"/>
    <w:rsid w:val="00E20A54"/>
    <w:rsid w:val="00E270E5"/>
    <w:rsid w:val="00E538F0"/>
    <w:rsid w:val="00E64D83"/>
    <w:rsid w:val="00E87D99"/>
    <w:rsid w:val="00E97024"/>
    <w:rsid w:val="00E97F84"/>
    <w:rsid w:val="00F012B1"/>
    <w:rsid w:val="00F11FD1"/>
    <w:rsid w:val="00F21B38"/>
    <w:rsid w:val="00F50C21"/>
    <w:rsid w:val="00F64579"/>
    <w:rsid w:val="00FD1642"/>
    <w:rsid w:val="00FD26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193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2DD1"/>
  </w:style>
  <w:style w:type="character" w:customStyle="1" w:styleId="eop">
    <w:name w:val="eop"/>
    <w:basedOn w:val="DefaultParagraphFont"/>
    <w:rsid w:val="00132DD1"/>
  </w:style>
  <w:style w:type="paragraph" w:customStyle="1" w:styleId="paragraph">
    <w:name w:val="paragraph"/>
    <w:basedOn w:val="Normal"/>
    <w:rsid w:val="00132DD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D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E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irstpagetablebold">
    <w:name w:val="First page table: bold"/>
    <w:qFormat/>
    <w:rsid w:val="009B1339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ouncil.oxford.gov.uk/ieListDocuments.aspx?CId=157&amp;MId=7528&amp;Ver=4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74870/The%20Leys%20Pools%20and%20Leisure%20Centre%20-%20Youth%20Hub.pdf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7518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council.oxford.gov.uk/documents/s74870/The%20Leys%20Pools%20and%20Leisure%20Centre%20-%20Youth%20Hu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3" ma:contentTypeDescription="Create a new document." ma:contentTypeScope="" ma:versionID="3753deed2dcd7b610455b4fd9c0e3c90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57be56f3673856d357bcc5d4eef83565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4EFC-F32B-466A-BEA4-9A944E55C3FB}">
  <ds:schemaRefs>
    <ds:schemaRef ds:uri="ca0c6f25-960b-4ad0-86ba-4742c0ecca1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b8f1d2-729e-4e17-b922-d1876d49c6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B9A4F1-C207-4444-908C-8B7F3EA2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EFD93-F599-4B82-AEEB-061B51E7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2024-02-06T15:47:00Z</dcterms:created>
  <dcterms:modified xsi:type="dcterms:W3CDTF">2024-02-07T09:50:00Z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